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 (c1)</w:t>
      </w:r>
    </w:p>
    <w:p>
      <w:r>
        <w:t xml:space="preserve">Prompt: </w:t>
      </w:r>
    </w:p>
    <w:p>
      <w:r>
        <w:t>--------------------</w:t>
      </w:r>
    </w:p>
    <w:p>
      <w:r>
        <w:t>Declining birth rates and the resulting demographic shifts toward aging populations present significant socioeconomic challenges globally. In my opinion, I strongly agree with the view that lowering birth rates and ageing populations can be addressed through government policies and immigration. This essay will provide two reasons supporting my idea.</w:t>
        <w:br/>
        <w:br/>
        <w:t>The major reason is the declining fertility rates, which undermine the sustainability of current social structures. In other words, fewer young people entering the workforce strain the existing pension and healthcare systems. For instance, nations with low birth rates face a shrinking pool of working-age individuals supporting a growing number of retirees. As a result, the economic burden on the productive population increases substantially, potentially leading to reduced national savings. Hence, it becomes evident that proactive measures are necessary to stabilize population dynamics.</w:t>
        <w:br/>
        <w:br/>
        <w:t>One effective solution is implementing targeted government policies alongside managed immigration streams. This is primarily due to the fact that policies can incentivize family formation and support working parents. This can be exemplified by the fact that offering generous parental leave and tax credits encourages larger family sizes. The outcome is that the workforce remains robust and the dependency ratio is mitigated effectively. This clearly aligns with the view that comprehensive governmental support and controlled migration are viable strategies.</w:t>
        <w:br/>
        <w:br/>
        <w:t>In conclusion, I strongly agree that addressing demographic decline requires both governmental intervention and managed immigration. Stabilizing fertility rates and integrating new populations are crucial steps toward maintaining a healthy socioeconomic balance.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