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 (c1)</w:t>
      </w:r>
    </w:p>
    <w:p>
      <w:r>
        <w:t xml:space="preserve">Prompt: </w:t>
      </w:r>
    </w:p>
    <w:p>
      <w:r>
        <w:t>--------------------</w:t>
      </w:r>
    </w:p>
    <w:p>
      <w:r>
        <w:t>Some people argue that formal schooling negatively impacts a student's natural ability to learn. In my opinion, I strongly disagree with the view that school education interferes with learning. This essay will provide two reasons supporting my idea.</w:t>
        <w:br/>
        <w:br/>
        <w:t>Structured academic environments actually provide essential frameworks for cognitive development. In other words, schools introduce systematic methods for acquiring diverse knowledge. For instance, classroom discussions and structured assignments help students organize complex information. As a result, This process significantly enhances critical thinking skills, allowing students to analyze material deeply. Hence, it becomes evident that Consequently, education acts as a vital catalyst for intellectual growth.</w:t>
        <w:br/>
        <w:br/>
        <w:t>Furthermore, educational institutions offer crucial opportunities for social and emotional maturation. This is primarily due to the fact that students interact with a diverse range of peers and instructors. This can be exemplified by the fact that group projects necessitate collaboration and compromise among individuals. The outcome is that Such experiences build essential life skills, preparing students for professional life. This clearly aligns with the view that Thus, schooling is instrumental in developing well-rounded, capable citizens.</w:t>
        <w:br/>
        <w:br/>
        <w:t>In conclusion, I strongly disagree with the view that school education interferes with learning. This is because structured academic environments provide essential frameworks for cognitive development, and educational institutions offer crucial opportunities for social and emotional maturation.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