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#201 (c1)</w:t>
      </w:r>
    </w:p>
    <w:p>
      <w:r>
        <w:t xml:space="preserve">Prompt: </w:t>
      </w:r>
    </w:p>
    <w:p>
      <w:r>
        <w:t>--------------------</w:t>
      </w:r>
    </w:p>
    <w:p>
      <w:r>
        <w:t>Some people argue that universities should prioritize practical training over extensive theoretical knowledge throughout their academic programs. In my opinion, I strongly disagree with disagreeing with the statement. This essay will provide two reasons supporting my idea.</w:t>
        <w:br/>
        <w:br/>
        <w:t>Theoretical knowledge forms the foundational bedrock of academic study. In other words, a deep understanding of core concepts is necessary for advanced learning. For instance, a student studying physics must first grasp complex mathematical theories before designing an experiment. As a result, the ability to analyze abstract concepts remains crucial for innovation. Hence, it becomes evident that robust theoretical grounding is indispensable for professional growth.</w:t>
        <w:br/>
        <w:br/>
        <w:t>Furthermore, academic study develops critical thinking abilities that are transferable across various fields. This is primarily due to the fact that theoretical frameworks teach students how to approach novel problems systematically. This can be exemplified by the fact that history courses teach students to analyze primary sources, a skill useful in law. The outcome is that graduates possess a versatile skillset, allowing them to adapt to changing job markets. This clearly aligns with the view that academic theory provides broad intellectual capacity.</w:t>
        <w:br/>
        <w:br/>
        <w:t>In conclusion, I strongly disagree with the notion that universities should de-emphasize theoretical knowledge. Maintaining a strong theoretical foundation is vital for professional growth, and academic theory provides broad intellectual capacity, ensuring graduates are well-equipped for their careers.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