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#204 (c1)</w:t>
      </w:r>
    </w:p>
    <w:p>
      <w:r>
        <w:t xml:space="preserve">Prompt: </w:t>
      </w:r>
    </w:p>
    <w:p>
      <w:r>
        <w:t>--------------------</w:t>
      </w:r>
    </w:p>
    <w:p>
      <w:r>
        <w:t>The movement of young people from rural areas to cities for education and employment is a significant global trend. In my opinion, I strongly agree with agree. This essay will provide two reasons supporting my idea.</w:t>
        <w:br/>
        <w:br/>
        <w:t>The major reason is the pursuit of greater economic opportunity in urban centers. In other words, cities concentrate job markets and advanced educational institutions, which are scarce in smaller towns. For instance, a student seeking specialized engineering training must relocate to a major metropolitan area. As a result, the availability of diverse career paths significantly boosts the potential for professional growth. Hence, it becomes evident that the draw of better job prospects drives this migration.</w:t>
        <w:br/>
        <w:br/>
        <w:t>One effective solution is enhancing the infrastructure and job creation within rural communities. This is primarily due to the fact that improving local amenities and establishing remote work hubs can make rural life more appealing. This can be exemplified by the fact that governments investing in high-speed internet access allows people to work remotely from their homes. The outcome is that the quality of life in these areas improves, attracting young families back to the countryside. This clearly aligns with the view that targeted investment can mitigate the rural-urban shift.</w:t>
        <w:br/>
        <w:br/>
        <w:t>In conclusion, I strongly agree with agree. This is clear from major and effective.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