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#206 (b2)</w:t>
      </w:r>
    </w:p>
    <w:p>
      <w:r>
        <w:t xml:space="preserve">Prompt: </w:t>
      </w:r>
    </w:p>
    <w:p>
      <w:r>
        <w:t>--------------------</w:t>
      </w:r>
    </w:p>
    <w:p>
      <w:r>
        <w:t>Some people believe that spending time in a different country is a key part of education for learning language and culture. In my opinion, I strongly disagree with disagreeing with the statement. This essay will provide two reasons supporting my idea.</w:t>
        <w:br/>
        <w:br/>
        <w:t>Studying abroad does not guarantee better language skills. In other words, academic success depends more on the student's preparation and effort at home. For instance, a student who only visits a country for a short time will not have enough chance to practice speaking. As a result, their language skills might only improve a little bit. Hence, it becomes evident that deep immersion is needed for real language growth.</w:t>
        <w:br/>
        <w:br/>
        <w:t>Living in a foreign country does not automatically teach deep cultural understanding. This is primarily due to the fact that many students stay in tourist areas and do not meet local people. This can be exemplified by the fact that they only interact with people who speak English. The outcome is that they only learn about surface-level customs, not the real local life. This clearly aligns with the view that deeper local contact is necessary for true cultural learning.</w:t>
        <w:br/>
        <w:br/>
        <w:t>In conclusion, I strongly disagree with disagreeing with the statement. This is because academic proficiency relies heavily on sustained effort and preparation, while genuine cultural understanding requires deep interaction with local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