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#206 (c1)</w:t>
      </w:r>
    </w:p>
    <w:p>
      <w:r>
        <w:t xml:space="preserve">Prompt: </w:t>
      </w:r>
    </w:p>
    <w:p>
      <w:r>
        <w:t>--------------------</w:t>
      </w:r>
    </w:p>
    <w:p>
      <w:r>
        <w:t>Many educational institutions advocate for students to spend time living and studying in a foreign nation to enhance both linguistic and cultural understanding. In my opinion, I strongly agree with agreeing with the statement. This essay will provide two reasons supporting my idea.</w:t>
        <w:br/>
        <w:br/>
        <w:t>Such an academic sojourn provides invaluable opportunities for personal development. In other words, students are forced to operate outside their familiar comfort zone, necessitating rapid adaptation. For instance, a student studying in Japan must navigate daily life using basic Japanese phrases, even when interacting with local shopkeepers. As a result, their linguistic proficiency improves dramatically, moving beyond classroom theory. Hence, it becomes evident that immersion in a foreign environment accelerates language acquisition.</w:t>
        <w:br/>
        <w:br/>
        <w:t>Furthermore, living abroad fosters a deeper appreciation for global citizenship. This is primarily due to the fact that students encounter diverse social structures and local customs firsthand. This can be exemplified by the fact that observing different family dynamics in a new country challenges preconceived notions about societal norms. The outcome is that students develop superior intercultural competency and empathy. This clearly aligns with the view that cross-cultural understanding is vital for modern global citizens.</w:t>
        <w:br/>
        <w:br/>
        <w:t>In conclusion, I strongly agree with agreeing with the statement. This is because academic sojourns facilitate accelerated language acquisition through necessity and cultivate superior intercultural competency by exposing students to diverse social structures.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