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#206 (c1)</w:t>
      </w:r>
    </w:p>
    <w:p>
      <w:r>
        <w:t xml:space="preserve">Prompt: </w:t>
      </w:r>
    </w:p>
    <w:p>
      <w:r>
        <w:t>--------------------</w:t>
      </w:r>
    </w:p>
    <w:p>
      <w:r>
        <w:t>Some people believe that spending time studying and living in a different country is essential for acquiring language and cultural knowledge. In my opinion, I strongly disagree with disagreeing with the statement. This essay will provide two reasons supporting my idea.</w:t>
        <w:br/>
        <w:br/>
        <w:t>While academic mobility offers valuable experiences, the necessity of such extended sojourns is often overstated. In other words, many educational goals can be achieved through focused, localized learning opportunities. For instance, intensive language programs within one's home country provide structured immersion and regular interaction with native speakers. As a result, students can develop linguistic proficiency and cultural understanding without the logistical complexities of international travel. Hence, it becomes evident that alternative methods can effectively support personal development.</w:t>
        <w:br/>
        <w:br/>
        <w:t>Furthermore, the immense cost and disruption associated with relocating for study present significant barriers. This is primarily due to the fact that tuition fees, accommodation, and living expenses accumulate rapidly, creating financial strain. This can be exemplified by the fact that many students from lower-income backgrounds cannot afford the necessary financial outlay for a prolonged stay abroad. The outcome is that these opportunities become exclusive to the wealthy, thereby limiting global access to education. This clearly aligns with the view that financial constraints are a major deterrent to cross-cultural understanding.</w:t>
        <w:br/>
        <w:br/>
        <w:t>In conclusion, I strongly disagree with disagreeing with the statement. This is because localized learning opportunities can effectively support personal development, and financial constraints significantly limit global access to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