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#209 (c1)</w:t>
      </w:r>
    </w:p>
    <w:p>
      <w:r>
        <w:t xml:space="preserve">Prompt: </w:t>
      </w:r>
    </w:p>
    <w:p>
      <w:r>
        <w:t>--------------------</w:t>
      </w:r>
    </w:p>
    <w:p>
      <w:r>
        <w:t>The proliferation of online shopping platforms has fundamentally altered consumer habits and retail landscapes. In my opinion, I strongly negative with the disadvantages outweigh the advantages. This essay will provide two reasons supporting my idea.</w:t>
        <w:br/>
        <w:br/>
        <w:t>On the one hand, online shopping offers unparalleled convenience to consumers globally. In other words, shoppers can access a vast array of goods from the comfort of their homes, regardless of geographical limitations. For instance, a student in a remote area can purchase specialized academic equipment from a major international retailer. As a result, the time and effort previously spent traveling to physical stores are significantly reduced. Hence, it becomes evident that the accessibility provided by these platforms is a major benefit.</w:t>
        <w:br/>
        <w:br/>
        <w:t>On the other hand, the reliance on online shopping presents several significant drawbacks for consumers. This is primarily due to the fact that customers cannot physically inspect items before making a purchase. This can be exemplified by the fact that clothing purchased online might not fit correctly or match the expected color. The outcome is that returns processes can be cumbersome, leading to financial and time losses for the buyer. This clearly aligns with the view that the lack of tactile experience poses a considerable problem.</w:t>
        <w:br/>
        <w:br/>
        <w:t>In conclusion, I strongly negative with the disadvantages outweigh the advantages. This is because online shopping provides unparalleled convenience and accessibility, yet it simultaneously presents considerable drawbacks regarding the inability to physically inspect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