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#210 (b2)</w:t>
      </w:r>
    </w:p>
    <w:p>
      <w:r>
        <w:t xml:space="preserve">Prompt: </w:t>
      </w:r>
    </w:p>
    <w:p>
      <w:r>
        <w:t>--------------------</w:t>
      </w:r>
    </w:p>
    <w:p>
      <w:r>
        <w:t>Research into new medicines and treatments is very important for improving health and dealing with various diseases. In my opinion, I strongly agree with agree. This essay will provide two reasons supporting my idea.</w:t>
        <w:br/>
        <w:br/>
        <w:t>Private companies can fund much of the research needed for new medicines. In other words, these businesses have a strong financial interest in finding profitable treatments. For instance, a company might invest in a drug for a common illness because it can sell many units. As a result, the company gets a good return on its money and can grow bigger. Hence, it becomes evident that private funding drives innovation through profit motives.</w:t>
        <w:br/>
        <w:br/>
        <w:t>Governments also play a key role in funding medical research. This is primarily due to the fact that they can support research into rare or difficult diseases that do not make money. This can be exemplified by the fact that For instance, a government might fund a vaccine for a small population group that is hard to treat. The outcome is that these important studies can happen even if no company sees a profit. This clearly aligns with the view that public funding ensures research covers all needs.</w:t>
        <w:br/>
        <w:br/>
        <w:t>In conclusion, I strongly agree that both private companies and governments must fund research. Private funding helps drive innovation through profit, while government support ensures that research covers all needs, especially for rare diseases.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