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#210 (c1)</w:t>
      </w:r>
    </w:p>
    <w:p>
      <w:r>
        <w:t xml:space="preserve">Prompt: </w:t>
      </w:r>
    </w:p>
    <w:p>
      <w:r>
        <w:t>--------------------</w:t>
      </w:r>
    </w:p>
    <w:p>
      <w:r>
        <w:t>The development of novel medicines and advanced treatments is crucial for improving global health and managing various diseases. In my opinion, I strongly agree with supporting the first option. This essay will provide two reasons supporting my idea.</w:t>
        <w:br/>
        <w:br/>
        <w:t>Private companies are uniquely positioned to spearhead medical research efforts. In other words, the profit motive provides a powerful incentive for innovation in drug discovery. For instance, large pharmaceutical corporations invest billions into developing specialized vaccines. As a result, these investments accelerate the process of bringing life-saving treatments to market. Hence, it becomes evident that the private sector possesses the necessary capital and drive for rapid advancement.</w:t>
        <w:br/>
        <w:br/>
        <w:t>Governments must maintain a primary role in funding essential medical research. This is primarily due to the fact that public health issues often lack immediate commercial viability. This can be exemplified by the fact that research into rare or neglected tropical diseases rarely generates profit. The outcome is that governmental support ensures that all populations, regardless of wealth, receive necessary care. This clearly aligns with the view that public funding guarantees equitable access to healthcare.</w:t>
        <w:br/>
        <w:br/>
        <w:t>In conclusion, I strongly agree that both private companies and governments must support medical research. The private sector's capital is vital for innovation, while government funding ensures that equitable access to healthcare remains a priority for all citizens.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