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#210 (c1)</w:t>
      </w:r>
    </w:p>
    <w:p>
      <w:r>
        <w:t xml:space="preserve">Prompt: </w:t>
      </w:r>
    </w:p>
    <w:p>
      <w:r>
        <w:t>--------------------</w:t>
      </w:r>
    </w:p>
    <w:p>
      <w:r>
        <w:t>The advancement of medical science requires substantial financial resources to investigate new treatments and cures for various diseases. In my opinion, I strongly disagree with disagree. This essay will provide two reasons supporting my idea.</w:t>
        <w:br/>
        <w:br/>
        <w:t>Private companies are often seen as the primary source of funding for medical research. In other words, these corporations are motivated by profit and market potential in everyday life in everyday life. For instance, a pharmaceutical giant might invest heavily in a drug targeting a profitable chronic illness. As a result, the development process accelerates, ensuring a return on investment for shareholders. Hence, it becomes evident that the profit motive drives rapid innovation in the private sector.</w:t>
        <w:br/>
        <w:br/>
        <w:t>Governments also play a crucial role in funding medical research. This is primarily due to the fact that public health concerns often outweigh immediate financial gains in everyday life. This can be exemplified by the fact that national health services fund research into rare or neglected tropical diseases. The outcome is that such critical areas receive necessary attention, regardless of commercial viability. This clearly aligns with the view that public funding ensures equitable access to care.</w:t>
        <w:br/>
        <w:br/>
        <w:t>In conclusion, I strongly disagree with disagree. This is clear from private and governments.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