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#211 (a2_b1)</w:t>
      </w:r>
    </w:p>
    <w:p>
      <w:r>
        <w:t xml:space="preserve">Prompt: </w:t>
      </w:r>
    </w:p>
    <w:p>
      <w:r>
        <w:t>--------------------</w:t>
      </w:r>
    </w:p>
    <w:p>
      <w:r>
        <w:t>Some older people choose to live in special houses with others like them instead of living with their adult children. In my opinion, I strongly positive with the advantages outweigh the disadvantages. This essay will provide two reasons supporting my idea.</w:t>
        <w:br/>
        <w:br/>
        <w:t>On the one hand, One clear advantage is that living in these groups gives old people good company. In other words, they meet many friends who are at a similar life stage. For example, they can join group activities like singing or playing games. As a result, they feel less lonely and more happy every day. This shows that this living choice helps people feel connected to their peers.</w:t>
        <w:br/>
        <w:br/>
        <w:t>On the other hand, Another reason is that this living choice can cause problems for family ties. This is because people might spend all their time with new friends and forget their children. For example, they might lose contact with their own family members. As a result, family bonds can become weak, and people may feel apart from their kin. This supports the view that family relationships can suffer.</w:t>
        <w:br/>
        <w:br/>
        <w:t>In conclusion, I strongly agree that the advantages outweigh the disadvantages. Living in groups gives good company, but this choice can also cause family relationships to suffer.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