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(b2)</w:t>
      </w:r>
    </w:p>
    <w:p>
      <w:r>
        <w:t xml:space="preserve">Prompt: </w:t>
      </w:r>
    </w:p>
    <w:p>
      <w:r>
        <w:t>--------------------</w:t>
      </w:r>
    </w:p>
    <w:p>
      <w:r>
        <w:t>Some older people are choosing to live in special communities with peers instead of staying with their adult children. In my opinion, I strongly positive with the advantages outweigh the disadvantages. This essay will provide two reasons supporting my idea.</w:t>
        <w:br/>
        <w:br/>
        <w:t>On the one hand, living in a retirement community offers a strong sense of companionship. In other words, these places provide a built-in social network for residents. For instance, people can join group activities like exercise classes or hobby groups. As a result, residents feel less isolated and more connected to others. Hence, it becomes evident that community living greatly improves mental well-being.</w:t>
        <w:br/>
        <w:br/>
        <w:t>On the other hand, a major disadvantage is the loss of personal freedom. This is primarily due to the fact that these communities often have strict rules about daily life. This can be exemplified by the fact that residents might need permission to leave the premises or keep certain pets. The outcome is that individuals feel restricted and unable to make their own choices. This clearly aligns with the view that this setup limits personal autonomy.</w:t>
        <w:br/>
        <w:br/>
        <w:t>In conclusion, I strongly agree that the advantages outweigh the disadvantages. While community living offers great companionship, the drawback of losing personal freedom must also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