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#212 (b2)</w:t>
      </w:r>
    </w:p>
    <w:p>
      <w:r>
        <w:t xml:space="preserve">Prompt: </w:t>
      </w:r>
    </w:p>
    <w:p>
      <w:r>
        <w:t>--------------------</w:t>
      </w:r>
    </w:p>
    <w:p>
      <w:r>
        <w:t>The influence of certain types of music on the learning process of young children is a topic of much discussion among experts. In my opinion, I strongly disagree with disagree. This essay will provide two reasons supporting my idea.</w:t>
        <w:br/>
        <w:br/>
        <w:t>Music does not automatically improve a child's learning abilities. In other words, simply listening to music does not guarantee better academic performance. For instance, a child can listen to classical music for an hour, yet still struggle with basic math problems. As a result, the music alone cannot replace proper teaching methods or focused study time. Hence, it becomes evident that other factors play a much bigger role in a child's development.</w:t>
        <w:br/>
        <w:br/>
        <w:t>Music is not the main factor for improving a child's learning. This is primarily due to the fact that effective learning requires active participation and structured activities. This can be exemplified by the fact that a child needs hands-on play and guided lessons, not just background music. The outcome is that if the teaching is weak, the best songs will not help the child understand the material. This clearly aligns with the view that direct instruction and play are more important.</w:t>
        <w:br/>
        <w:br/>
        <w:t>In conclusion, I strongly disagree that certain types of music are key to learning. While music might be nice, the actual learning process depends more on structured activities and proper teaching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