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#212 (c1)</w:t>
      </w:r>
    </w:p>
    <w:p>
      <w:r>
        <w:t xml:space="preserve">Prompt: </w:t>
      </w:r>
    </w:p>
    <w:p>
      <w:r>
        <w:t>--------------------</w:t>
      </w:r>
    </w:p>
    <w:p>
      <w:r>
        <w:t>The influence of specific types of music on the educational progress of young children has been a subject of considerable academic interest. In my opinion, I strongly agree with agreeing with the statement. This essay will provide two reasons supporting my idea.</w:t>
        <w:br/>
        <w:br/>
        <w:t>Incorporating musical activities into a child's routine can significantly boost their overall cognitive development. In other words, engaging with structured songs and rhythms helps build foundational neural pathways. For instance, learning simple songs with hand gestures requires coordination between auditory and motor skills. As a result, children develop better memory retention and improved concentration levels. Hence, it becomes evident that music serves as a powerful tool for early childhood education.</w:t>
        <w:br/>
        <w:br/>
        <w:t>Music exposure is primarily due to the fact that it stimulates multiple areas of the brain simultaneously. This is primarily due to the fact that the combination of sound, beat, and melody activates various cognitive centers. This can be exemplified by the fact that children who listen to classical music often show enhanced pattern recognition abilities. The outcome is that their capacity for problem-solving increases, which is beneficial for academic performance. This clearly aligns with the view that music is integral to comprehensive learning.</w:t>
        <w:br/>
        <w:br/>
        <w:t>In conclusion, I strongly agree with agreeing with the statement. This is because incorporating music enhances cognitive development by improving coordination and memory, while simultaneously stimulating multiple brain areas to boost problem-solving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