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#213 (c1)</w:t>
      </w:r>
    </w:p>
    <w:p>
      <w:r>
        <w:t xml:space="preserve">Prompt: </w:t>
      </w:r>
    </w:p>
    <w:p>
      <w:r>
        <w:t>--------------------</w:t>
      </w:r>
    </w:p>
    <w:p>
      <w:r>
        <w:t>The increasing tendency for people to view domestic pets as integral family members is a widely discussed modern phenomenon. In my opinion, I strongly disagree with disagree. This essay will provide two reasons supporting my idea.</w:t>
        <w:br/>
        <w:br/>
        <w:t>This attachment blurs the traditional boundaries between human and animal companionship. In other words, pet ownership often involves emotional investment comparable to that of a human relative. For instance, many individuals spend considerable funds on specialized pet care and gourmet food. As a result, the pet becomes viewed not merely as an animal, but as a cherished member of the household. Hence, it becomes evident that this emotional attachment can lead to undue financial and emotional burdens on the owners.</w:t>
        <w:br/>
        <w:br/>
        <w:t>Furthermore, this perception can diminish the necessary sense of personal responsibility. This is primarily due to the fact that people may underestimate the complex needs of an animal. This can be exemplified by the fact that some owners neglect necessary veterinary check-ups or proper exercise routines. The outcome is that the animal's welfare suffers, potentially leading to behavioral issues or health complications. This clearly aligns with the view that emotional attachment must be balanced with practical animal welfare considerations.</w:t>
        <w:br/>
        <w:br/>
        <w:t>In conclusion, I strongly disagree with disagree. This is clear from attachment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