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#214 (a2_b1)</w:t>
      </w:r>
    </w:p>
    <w:p>
      <w:r>
        <w:t xml:space="preserve">Prompt: </w:t>
      </w:r>
    </w:p>
    <w:p>
      <w:r>
        <w:t>--------------------</w:t>
      </w:r>
    </w:p>
    <w:p>
      <w:r>
        <w:t>Many television advertisements are made for children today. In my opinion, I strongly agree with agree. This essay will provide two reasons supporting my idea.</w:t>
        <w:br/>
        <w:br/>
        <w:t>These ads can show children things they want to buy. In other words, they make kids feel they need certain toys or items in daily life. For example, a cartoon might show a character using a specific brand of snack. As a result, the child wants that snack and asks their parents for it. This shows that ads can change what children want to play with.</w:t>
        <w:br/>
        <w:br/>
        <w:t>Controlling these ads helps keep children safe from bad ideas. This is because some ads show things that are not good for kids to see in daily life. For example, an ad might show too much action or scary things. As a result, children might feel worried or scared when they watch TV. This supports the view that rules are needed for TV ads.</w:t>
        <w:br/>
        <w:br/>
        <w:t>In conclusion, I strongly agree that TV ads for kids must be controlled. We must control the ads because they change what children want to play with, and we must control the ads because they show things that are not good for kids to see.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