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#214 (b2)</w:t>
      </w:r>
    </w:p>
    <w:p>
      <w:r>
        <w:t xml:space="preserve">Prompt: </w:t>
      </w:r>
    </w:p>
    <w:p>
      <w:r>
        <w:t>--------------------</w:t>
      </w:r>
    </w:p>
    <w:p>
      <w:r>
        <w:t>Television advertisements aimed at children are a common part of modern media consumption. In my opinion, I strongly agree with agree. This essay will provide two reasons supporting my idea.</w:t>
        <w:br/>
        <w:br/>
        <w:t>These ads can negatively affect children's understanding of reality. In other words, they often promote unrealistic ideas about life and success in everyday life in everyday life in everyday life in everyday life. For instance, many toys shown in ads require expensive items that children cannot afford. As a result, children might feel pressure to own these specific products to feel happy. Hence, it becomes evident that strict control is needed to protect young minds.</w:t>
        <w:br/>
        <w:br/>
        <w:t>Controlling these ads helps maintain a healthy view of childhood. This is primarily due to the fact that unchecked advertising can make children feel bad about their own lives in everyday life in everyday life in everyday life. This can be exemplified by the fact that ads often show perfect families and perfect playtimes. The outcome is that children might compare their own lives to these fake images, causing sadness. This clearly aligns with the view that parental guidance and regulation are necessary.</w:t>
        <w:br/>
        <w:br/>
        <w:t>In conclusion, I strongly agree with agree. This is clear from negatively and controlling.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