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#214 (c1)</w:t>
      </w:r>
    </w:p>
    <w:p>
      <w:r>
        <w:t xml:space="preserve">Prompt: </w:t>
      </w:r>
    </w:p>
    <w:p>
      <w:r>
        <w:t>--------------------</w:t>
      </w:r>
    </w:p>
    <w:p>
      <w:r>
        <w:t>The proliferation of television advertisements targeting young viewers has become a significant cultural concern. In my opinion, I strongly agree with agree. This essay will provide two reasons supporting my idea.</w:t>
        <w:br/>
        <w:br/>
        <w:t>These advertisements often exploit children's developing psychological needs for attention and validation. In other words, they frequently promote material that creates an artificial sense of need for specific products in everyday life in everyday life. For instance, a commercial might show a child's happiness only when they possess a particular toy. As a result, children may develop an unhealthy association between happiness and consumer goods. Hence, it becomes evident that parental control is necessary to mitigate this undue influence.</w:t>
        <w:br/>
        <w:br/>
        <w:t>Furthermore, such advertising can undermine the educational value of children's leisure time. This is primarily due to the fact that these ads often prioritize sensationalism over genuine learning content in everyday life. This can be exemplified by the fact that many programs feature rapid cuts and loud noises to maintain engagement. The outcome is that children may become desensitized to subtle educational messaging. This clearly aligns with the view that strict regulation of advertising is essential.</w:t>
        <w:br/>
        <w:br/>
        <w:t>In conclusion, I strongly agree with agree. This is clear from advertisements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