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(c1)</w:t>
      </w:r>
    </w:p>
    <w:p>
      <w:r>
        <w:t xml:space="preserve">Prompt: </w:t>
      </w:r>
    </w:p>
    <w:p>
      <w:r>
        <w:t>--------------------</w:t>
      </w:r>
    </w:p>
    <w:p>
      <w:r>
        <w:t>The proliferation of television advertisements targeting young viewers has become a prominent cultural discussion. In my opinion, I strongly disagree with disagree. This essay will provide two reasons supporting my idea.</w:t>
        <w:br/>
        <w:br/>
        <w:t>These advertisements can negatively impact children's psychological development. In other words, they often promote unrealistic standards of living and consumption in everyday life in everyday life in everyday life. For instance, many commercials feature expensive toys and elaborate lifestyles, creating unattainable desires. As a result, children may develop feelings of inadequacy or pressure to acquire material goods. Hence, it becomes evident that such constant exposure undermines healthy self-esteem.</w:t>
        <w:br/>
        <w:br/>
        <w:t>Furthermore, these ads can compromise the quality of educational content. This is primarily due to the fact that advertisers often prioritize catchy, commercial messaging over genuine learning in everyday life in everyday life. This can be exemplified by the fact that educational shows frequently incorporate product placements, subtly shifting focus from academics to sales. The outcome is that children may view learning as merely a means to purchase something, diminishing its intrinsic value. This clearly aligns with the view that parental oversight is insufficient to mitigate commercial influence.</w:t>
        <w:br/>
        <w:br/>
        <w:t>In conclusion, I strongly disagree with disagree. This is clear from advertisements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