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#215 (b2)</w:t>
      </w:r>
    </w:p>
    <w:p>
      <w:r>
        <w:t xml:space="preserve">Prompt: </w:t>
      </w:r>
    </w:p>
    <w:p>
      <w:r>
        <w:t>--------------------</w:t>
      </w:r>
    </w:p>
    <w:p>
      <w:r>
        <w:t>Some people argue that practical life experience is more valuable for learning than traditional classroom study. In my opinion, I strongly agree with agreeing with the statement. This essay will provide two reasons supporting my idea.</w:t>
        <w:br/>
        <w:br/>
        <w:t>Practical experience offers unique lessons that books cannot teach. In other words, real-life situations force us to solve problems immediately in everyday life. For instance, a person working in a shop learns customer skills by dealing with many people. As a result, they become better at talking to and helping customers. Hence, it becomes evident that hands-on work builds useful skills.</w:t>
        <w:br/>
        <w:br/>
        <w:t>Another reason is that experience helps people adapt to changing jobs. This is primarily due to the fact that the workplace changes quickly and requires new skills in everyday life. This can be exemplified by the fact that a marketing worker must learn new social media tools every year. The outcome is that they stay relevant and keep their jobs secure. This clearly aligns with the view that practical exposure is key to a good career.</w:t>
        <w:br/>
        <w:br/>
        <w:t>In conclusion, I strongly agree that practical experience is highly valuable for learning. Both hands-on work and practical exposure help people develop useful skills and adapt to changing jobs.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