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#215 (c1)</w:t>
      </w:r>
    </w:p>
    <w:p>
      <w:r>
        <w:t xml:space="preserve">Prompt: </w:t>
      </w:r>
    </w:p>
    <w:p>
      <w:r>
        <w:t>--------------------</w:t>
      </w:r>
    </w:p>
    <w:p>
      <w:r>
        <w:t>The debate concerning the relative value of practical experience versus formal academic study is a long-standing discussion. In my opinion, I strongly agree with agree. This essay will provide two reasons supporting my idea.</w:t>
        <w:br/>
        <w:br/>
        <w:t>Practical experience offers invaluable insights into professional life. In other words, real-world exposure allows individuals to apply theoretical knowledge immediately in everyday life in everyday life in everyday life. For instance, an apprentice learning carpentry gains skills that textbooks cannot teach. As a result, the individual develops a deep understanding of material limitations and practical techniques. Hence, it becomes evident that hands-on work provides a superior form of education.</w:t>
        <w:br/>
        <w:br/>
        <w:t>Furthermore, professional settings cultivate crucial soft skills that formal education often overlooks. This is primarily due to the fact that workplace interactions necessitate communication and problem-solving under pressure in everyday life in everyday life in everyday life. This can be exemplified by the fact that managing a team requires negotiation and conflict resolution abilities. The outcome is that graduates are not only knowledgeable but also highly adaptable and collaborative. This clearly aligns with the view that practical learning is paramount for career success.</w:t>
        <w:br/>
        <w:br/>
        <w:t>In conclusion, I strongly agree with agree. This is clear from practical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