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#216 (c1)</w:t>
      </w:r>
    </w:p>
    <w:p>
      <w:r>
        <w:t xml:space="preserve">Prompt: </w:t>
      </w:r>
    </w:p>
    <w:p>
      <w:r>
        <w:t>--------------------</w:t>
      </w:r>
    </w:p>
    <w:p>
      <w:r>
        <w:t>Some individuals prefer the flexibility of temporary employment, which allows them to work for limited periods and dedicate more time to personal pursuits. In my opinion, I strongly disagree with disagree. This essay will provide two reasons supporting my idea.</w:t>
        <w:br/>
        <w:br/>
        <w:t>The appeal of temporary jobs lies in the autonomy they afford workers. In other words, these roles grant individuals significant control over their schedules and commitments in everyday life. For instance, a freelance graphic designer can take on projects only when they feel creatively inspired. As a result, the pressure to maintain a rigid, long-term routine is greatly diminished. Hence, it becomes evident that temporary work offers a high degree of personal freedom.</w:t>
        <w:br/>
        <w:br/>
        <w:t>Conversely, permanent employment offers substantial benefits regarding stability and growth. This is primarily due to the fact that established companies typically provide comprehensive benefits and structured career paths. This can be exemplified by the fact that a full-time employee gains access to retirement plans and health insurance. The outcome is that financial security and professional development are consistently prioritized. This clearly aligns with the view that stable careers are crucial for long-term planning.</w:t>
        <w:br/>
        <w:br/>
        <w:t>In conclusion, I strongly disagree with disagree. This is clear from appeal and conversely.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