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#220 (c1)</w:t>
      </w:r>
    </w:p>
    <w:p>
      <w:r>
        <w:t xml:space="preserve">Prompt: </w:t>
      </w:r>
    </w:p>
    <w:p>
      <w:r>
        <w:t>--------------------</w:t>
      </w:r>
    </w:p>
    <w:p>
      <w:r>
        <w:t>The increasing prevalence of virtual gatherings has transformed the traditional landscape of professional interaction. In my opinion, I strongly agree with agreeing with the statement. This essay will provide two reasons supporting my idea.</w:t>
        <w:br/>
        <w:br/>
        <w:t>Online meetings offer substantial benefits for modern professional life. In other words, they eliminate the necessity of physical travel, saving considerable time and resources in everyday life. For instance, a team spread across multiple continents can convene instantly via a video call. As a result, employees can participate in discussions without the logistical complications of international travel. Hence, it becomes evident that virtual platforms significantly enhance global collaboration.</w:t>
        <w:br/>
        <w:br/>
        <w:t>Furthermore, these digital platforms improve accessibility for diverse groups of people. This is primarily due to the fact that individuals with mobility issues or geographical constraints can still attend important sessions. This can be exemplified by the fact that a student in a rural area can join a specialized lecture from a major university. The outcome is that professional development opportunities are no longer limited by physical location. This clearly aligns with the view that online meetings promote inclusivity and broaden professional reach.</w:t>
        <w:br/>
        <w:br/>
        <w:t>In conclusion, I strongly agree with agreeing with the statement. This is because online meetings significantly enhance global collaboration by eliminating the necessity of physical travel, and they also improve accessibility for diverse groups of people, broadening professional reach.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