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#220 (c1)</w:t>
      </w:r>
    </w:p>
    <w:p>
      <w:r>
        <w:t xml:space="preserve">Prompt: </w:t>
      </w:r>
    </w:p>
    <w:p>
      <w:r>
        <w:t>--------------------</w:t>
      </w:r>
    </w:p>
    <w:p>
      <w:r>
        <w:t>The increasing prevalence of virtual gatherings has fundamentally altered the landscape of professional communication. In my opinion, I strongly disagree with disagree. This essay will provide two reasons supporting my idea.</w:t>
        <w:br/>
        <w:br/>
        <w:t>Online meetings offer significant advantages for maintaining professional connections across geographical boundaries. In other words, they eliminate the necessity for physical travel, which is both time-consuming and costly in everyday life. For instance, a team spread across multiple continents can convene instantly via a video call. As a result, participants save substantial amounts of time and resources previously allocated to commuting and lodging. Hence, it becomes evident that virtual platforms enhance global accessibility for business operations.</w:t>
        <w:br/>
        <w:br/>
        <w:t>Furthermore, these digital platforms significantly improve the flexibility of professional schedules. This is primarily due to the fact that employees can participate in discussions from the comfort of their homes in everyday life. This can be exemplified by the fact that parents with childcare responsibilities can still attend important client calls. The outcome is that work-life balance improves, allowing individuals to manage personal commitments alongside professional duties. This clearly aligns with the view that remote work models boost overall employee satisfaction.</w:t>
        <w:br/>
        <w:br/>
        <w:t>In conclusion, I strongly disagree with disagree. This is clear from online and furthermore.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