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#221 (c1)</w:t>
      </w:r>
    </w:p>
    <w:p>
      <w:r>
        <w:t xml:space="preserve">Prompt: </w:t>
      </w:r>
    </w:p>
    <w:p>
      <w:r>
        <w:t>--------------------</w:t>
      </w:r>
    </w:p>
    <w:p>
      <w:r>
        <w:t>The debate surrounding climate change involves whether humanity should focus on adapting to its effects or actively working to solve the underlying causes. In my opinion, I strongly agree with agree. This essay will provide two reasons supporting my idea.</w:t>
        <w:br/>
        <w:br/>
        <w:t>Prioritizing adaptation strategies is crucial for human survival in the face of escalating climate instability. In other words, societies must develop resilience to cope with unavoidable environmental shifts. For instance, coastal communities can construct seawalls and relocate infrastructure to withstand rising sea levels. As a result, the economic damage from extreme weather events can be significantly minimized. Hence, it becomes evident that proactive adaptation measures are essential for maintaining stability.</w:t>
        <w:br/>
        <w:br/>
        <w:t>Furthermore, focusing on adaptation alone neglects the fundamental need to stabilize the global climate system. This is primarily due to the fact that unchecked emissions continue to exacerbate the problem, making adaptation efforts insufficient. This can be exemplified by the fact that even advanced infrastructure will eventually fail if global warming continues unchecked. The outcome is that the planet's natural resources will become increasingly depleted, threatening biodiversity. This clearly aligns with the view that mitigation efforts must remain the primary focus.</w:t>
        <w:br/>
        <w:br/>
        <w:t>In conclusion, I strongly agree with agree. This is clear from prioritizing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