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#224 (c1)</w:t>
      </w:r>
    </w:p>
    <w:p>
      <w:r>
        <w:t xml:space="preserve">Prompt: </w:t>
      </w:r>
    </w:p>
    <w:p>
      <w:r>
        <w:t>--------------------</w:t>
      </w:r>
    </w:p>
    <w:p>
      <w:r>
        <w:t>The increasing awareness of copyright law highlights the persistent global challenge of preventing unauthorized reproduction of creative works. In my opinion, I strongly agree with identifying problems and proposing solutions. This essay will provide two reasons supporting my idea.</w:t>
        <w:br/>
        <w:br/>
        <w:t>The major reason is the accessibility of digital platforms, which facilitate the widespread distribution of copyrighted material. In other words, the ease of downloading files means that illegal copying can occur almost instantaneously across vast networks. For instance, unauthorized sharing of films and e-books through torrent sites demonstrates this massive scale of violation. As a result, creators lose substantial revenue that was intended for their original works. Hence, it becomes evident that technological convenience has undermined legal protections.</w:t>
        <w:br/>
        <w:br/>
        <w:t>One effective solution is strengthening international legal cooperation and enforcement mechanisms. This is primarily due to the fact that piracy often crosses national borders, making local laws insufficient for prosecution. This can be exemplified by the fact that multinational police operations are required to shut down large-scale illegal distribution networks. The outcome is that both rights holders and consumers are better protected by a unified legal front. This clearly aligns with the view that global collaboration is essential for combating piracy.</w:t>
        <w:br/>
        <w:br/>
        <w:t>In conclusion, I strongly agree that preventing piracy requires addressing both the major reason of digital accessibility and implementing effective solutions through international legal cooperation. Addressing digital accessibility and strengthening international legal cooperation are crucial steps toward protecting original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