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#225 (a2_b1)</w:t>
      </w:r>
    </w:p>
    <w:p>
      <w:r>
        <w:t xml:space="preserve">Prompt: </w:t>
      </w:r>
    </w:p>
    <w:p>
      <w:r>
        <w:t>--------------------</w:t>
      </w:r>
    </w:p>
    <w:p>
      <w:r>
        <w:t>Some couples are having babies later in their lives in many countries. In my opinion, I strongly agree with identifying problems and proposing solutions. This essay will provide two reasons supporting my idea.</w:t>
        <w:br/>
        <w:br/>
        <w:t>The major reason is that people focus on their careers first. In other words, young adults want to build their lives and money before starting a family in daily life. For example, they need time to finish school and start a good job in daily life. As a result, they wait until they are older to marry and have children in daily life. This shows that career success is a big reason for delaying having babies.</w:t>
        <w:br/>
        <w:br/>
        <w:t>One effective solution is that the government should offer better support for new parents. This is because financial help can make it easier for couples to plan a family in daily life. For example, the state could give tax breaks for families with young children in daily life. As a result, parents would feel less worried about money problems. This supports the view that government help can help couples decide to have babies.</w:t>
        <w:br/>
        <w:br/>
        <w:t>In conclusion, I strongly agree with identifying problems and proposing solutions. This is because career success delays family planning, and government support can help couples decide to have babies.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