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#225 (b2)</w:t>
      </w:r>
    </w:p>
    <w:p>
      <w:r>
        <w:t xml:space="preserve">Prompt: </w:t>
      </w:r>
    </w:p>
    <w:p>
      <w:r>
        <w:t>--------------------</w:t>
      </w:r>
    </w:p>
    <w:p>
      <w:r>
        <w:t>Many couples are choosing to have children later in life, a trend seen in several countries around the world. In my opinion, I strongly agree with identifying problems and proposing solutions. This essay will provide two reasons supporting my idea.</w:t>
        <w:br/>
        <w:br/>
        <w:t>The major reason is the focus on career building and financial stability. In other words, people often want to establish themselves professionally before starting a family. For instance, many young adults prioritize getting a good job and saving money for a house. As a result, they feel they need more time to achieve these goals before having children. Hence, it becomes evident that career success influences the timing of parenthood.</w:t>
        <w:br/>
        <w:br/>
        <w:t>One effective solution is for educational institutions to offer better support for working parents. This is primarily due to the fact that better childcare options reduce the financial stress on new families. This can be exemplified by the fact that governments can provide subsidized daycare centers near workplaces. The outcome is that parents feel more secure and less worried about balancing work and family life. This clearly aligns with the view that better support systems help couples plan for children.</w:t>
        <w:br/>
        <w:br/>
        <w:t>In conclusion, I strongly agree with identifying problems and proposing solutions. This is because career success influences the timing of parenthood, and educational institutions can offer better support for working parents.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