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(c1)</w:t>
      </w:r>
    </w:p>
    <w:p>
      <w:r>
        <w:t xml:space="preserve">Prompt: </w:t>
      </w:r>
    </w:p>
    <w:p>
      <w:r>
        <w:t>--------------------</w:t>
      </w:r>
    </w:p>
    <w:p>
      <w:r>
        <w:t>The increasing frequency of cultural communication across nations is a defining characteristic of our globalized era. In my opinion, I strongly disagree with disagreeing with the statement. This essay will provide two reasons supporting my idea.</w:t>
        <w:br/>
        <w:br/>
        <w:t>Intercultural communication is fundamentally beneficial for personal growth and global understanding. In other words, exposure to foreign traditions broadens one's perspective beyond familiar norms. For instance, studying a foreign cuisine introduces appreciation for different preparation methods and ingredients. As a result, individuals develop a greater tolerance for varied lifestyles and customs. Hence, it becomes evident that such exchanges foster profound personal development.</w:t>
        <w:br/>
        <w:br/>
        <w:t>The global exchange of ideas promotes significant economic and scientific advancements. This is primarily due to the fact that diverse knowledge bases can solve complex international problems. This can be exemplified by the fact that international collaborations accelerate medical research and technological innovation. The outcome is that nations can pool resources and expertise to achieve monumental progress. This clearly aligns with the view that global interaction is a powerful catalyst for progress.</w:t>
        <w:br/>
        <w:br/>
        <w:t>In conclusion, I strongly disagree with the notion that foreign cultures are inherently problematic; rather, they are invaluable. The positive impact of cultural exchange on personal growth and the economic benefits derived from global interaction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