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#227 (c1)</w:t>
      </w:r>
    </w:p>
    <w:p>
      <w:r>
        <w:t xml:space="preserve">Prompt: </w:t>
      </w:r>
    </w:p>
    <w:p>
      <w:r>
        <w:t>--------------------</w:t>
      </w:r>
    </w:p>
    <w:p>
      <w:r>
        <w:t>The path to achieving success is often debated, questioning whether innate ability or external opportunities serves as the primary determinant. In my opinion, I strongly agree with agree. This essay will provide two reasons supporting my idea.</w:t>
        <w:br/>
        <w:br/>
        <w:t>The capacity for hard work and continuous self-improvement constitutes the most crucial element for achieving success. In other words, possessing the necessary skills and dedication allows an individual to navigate challenges effectively. For instance, a student who dedicates time to studying, even without perfect resources, will outperform a less diligent peer. As a result, consistent effort builds a robust foundation of knowledge and competence. Hence, it becomes evident that personal drive is the fundamental catalyst for professional advancement.</w:t>
        <w:br/>
        <w:br/>
        <w:t>Furthermore, an individual's proactive mindset and resilience are more impactful than simply waiting for favorable circumstances. This is primarily due to the fact that self-motivation enables people to create their own chances rather than merely accepting what is given. This can be exemplified by the fact that entrepreneurs often identify market gaps and build opportunities where none previously existed. The outcome is that those who take initiative are better positioned to shape their own professional trajectories. This clearly aligns with the view that personal agency dictates one's ultimate success.</w:t>
        <w:br/>
        <w:br/>
        <w:t>In conclusion, I strongly agree with agree. This is clear from capacity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