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#230 (c1)</w:t>
      </w:r>
    </w:p>
    <w:p>
      <w:r>
        <w:t xml:space="preserve">Prompt: </w:t>
      </w:r>
    </w:p>
    <w:p>
      <w:r>
        <w:t>--------------------</w:t>
      </w:r>
    </w:p>
    <w:p>
      <w:r>
        <w:t>The construction of a factory near residential areas presents a complex issue regarding community well-being and urban planning. In my opinion, I strongly negative with the disadvantages outweigh the advantages. This essay will provide two reasons supporting my idea.</w:t>
        <w:br/>
        <w:br/>
        <w:t>On the one hand, the presence of a factory can stimulate local economic growth. In other words, such industrial facilities generate numerous employment opportunities for local residents. For instance, a new manufacturing plant might hire hundreds of people, providing stable incomes. As a result, the local economy experiences a significant boost in revenue and commerce. Hence, it becomes evident that economic stimulation is a major benefit of nearby factories.</w:t>
        <w:br/>
        <w:br/>
        <w:t>On the other hand, the establishment of a factory poses several environmental drawbacks. This is primarily due to the fact that industrial operations often release pollutants into the surrounding air and water. This can be exemplified by the fact that increased traffic congestion and noise pollution degrade the quality of life. The outcome is that residents may suffer from respiratory illnesses and reduced quality of life. This clearly aligns with the view that environmental degradation is a serious disadvantage.</w:t>
        <w:br/>
        <w:br/>
        <w:t>In conclusion, I strongly negative with the disadvantages outweigh the advantages. This is because industrial facilities stimulate local economic growth by generating employment, while simultaneously causing environmental degradation through pollution and noise.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