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#232 (c1)</w:t>
      </w:r>
    </w:p>
    <w:p>
      <w:r>
        <w:t xml:space="preserve">Prompt: </w:t>
      </w:r>
    </w:p>
    <w:p>
      <w:r>
        <w:t>--------------------</w:t>
      </w:r>
    </w:p>
    <w:p>
      <w:r>
        <w:t>The advent of television has significantly altered the dynamics of communication between friends and family members. In my opinion, I strongly agree with agreeing with the statement. This essay will provide two reasons supporting my idea.</w:t>
        <w:br/>
        <w:br/>
        <w:t>Television viewing has indeed compressed the time available for meaningful social interaction. In other words, people tend to spend more time in front of screens rather than engaging in direct conversation. For instance, a family might gather in the living room, each engrossed in their own television program. As a result, the quality time spent together diminishes, leading to emotional distance. Hence, it becomes evident that screen time negatively impacts the maintenance of strong family bonds.</w:t>
        <w:br/>
        <w:br/>
        <w:t>Furthermore, reliance on television viewing can weaken the skills needed for face-to-face communication. This is primarily due to the fact that mediated relationships replace the necessity of practicing real-life interaction. This can be exemplified by the fact that younger generations become accustomed to the superficiality of digital exchanges. The outcome is that their ability to discuss matters requiring nuanced body language or sustained attention declines. This clearly aligns with the view that excessive screen time hinders the development of interpersonal skills.</w:t>
        <w:br/>
        <w:br/>
        <w:t>In conclusion, I strongly agree with agreeing with the statement. This is because excessive screen time diminishes the quality of family interactions and consequently impairs the development of essential face-to-face communication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