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#233 (c1)</w:t>
      </w:r>
    </w:p>
    <w:p>
      <w:r>
        <w:t xml:space="preserve">Prompt: </w:t>
      </w:r>
    </w:p>
    <w:p>
      <w:r>
        <w:t>--------------------</w:t>
      </w:r>
    </w:p>
    <w:p>
      <w:r>
        <w:t>The choice between residing in a large metropolitan area or a modest small town presents a significant lifestyle consideration. In my opinion, I strongly disagree with supporting the second option. This essay will provide two reasons supporting my idea.</w:t>
        <w:br/>
        <w:br/>
        <w:t>The appeal of big cities lies in their unparalleled access to professional opportunities. In other words, urban centers concentrate diverse industries, attracting ambitious individuals. For instance, a young professional seeking a career in finance will find numerous corporate headquarters in a major city. As a result, the sheer volume of available jobs significantly boosts economic mobility for residents. Hence, it becomes evident that big cities offer superior career advancement prospects.</w:t>
        <w:br/>
        <w:br/>
        <w:t>Another compelling advantage of small towns is the superior sense of community belonging. This is primarily due to the fact that residents often know their neighbors and interact frequently. This can be exemplified by the fact that local community events, such as seasonal festivals, involve participation from nearly every household. The outcome is that social support networks are robust, providing emotional stability to the inhabitants. This clearly aligns with the view that small towns foster a strong sense of belonging.</w:t>
        <w:br/>
        <w:br/>
        <w:t>In conclusion, I strongly disagree with supporting the second option. This is because big cities provide superior career advancement prospects due to concentrated industries, while small towns cultivate a robust sense of community belonging through frequent neighborly interactions.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