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#234 (b2)</w:t>
      </w:r>
    </w:p>
    <w:p>
      <w:r>
        <w:t xml:space="preserve">Prompt: </w:t>
      </w:r>
    </w:p>
    <w:p>
      <w:r>
        <w:t>--------------------</w:t>
      </w:r>
    </w:p>
    <w:p>
      <w:r>
        <w:t>Some people think that universities should spend as much money on sports as they spend on libraries. In my opinion, I strongly disagree with supporting the second option. This essay will provide two reasons supporting my idea.</w:t>
        <w:br/>
        <w:br/>
        <w:t>Prioritizing funding for sports activities is not necessary for a good education. In other words, libraries already provide many resources for students to learn in everyday life. For instance, students can use library books and online databases to study for exams. As a result, they gain knowledge without needing extra money for sports. Hence, it becomes evident that academic facilities are more important than athletic funding.</w:t>
        <w:br/>
        <w:br/>
        <w:t>Giving equal funding to sports and libraries is not a sensible idea. This is primarily due to the fact that libraries focus on core academic needs. This can be exemplified by the fact that a student needs books for history and science classes. The outcome is that academic study remains the main focus of the university. This clearly aligns with the view that learning materials should be the main priority.</w:t>
        <w:br/>
        <w:br/>
        <w:t>In conclusion, I strongly disagree with giving equal funding to sports and libraries. Universities should keep the focus on academic facilities and prioritize learning materials for a proper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