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#234 (c1)</w:t>
      </w:r>
    </w:p>
    <w:p>
      <w:r>
        <w:t xml:space="preserve">Prompt: </w:t>
      </w:r>
    </w:p>
    <w:p>
      <w:r>
        <w:t>--------------------</w:t>
      </w:r>
    </w:p>
    <w:p>
      <w:r>
        <w:t>The allocation of university funds between athletic programs and academic resources, such as libraries, is a subject of considerable debate. In my opinion, I strongly agree with agree. This essay will provide two reasons supporting my idea.</w:t>
        <w:br/>
        <w:br/>
        <w:t>Prioritizing sports funding over academic facilities is a common concern among educational stakeholders. In other words, some argue that excessive spending on athletic development detracts from core academic missions. For instance, a university might spend substantial sums on state-of-the-art stadiums, neglecting library modernization. As a result, students may find that essential study resources are outdated or insufficient for their needs. Hence, it becomes evident that such an imbalance compromises the overall educational experience.</w:t>
        <w:br/>
        <w:br/>
        <w:t>Conversely, allocating significant money to libraries ensures students have adequate resources for scholarly pursuits. This is primarily due to the fact that libraries are crucial hubs for research and intellectual growth. This can be exemplified by the fact that a well-stocked library provides access to countless academic journals and databases. The outcome is that students can conduct deeper research, improving their academic rigor and understanding. This clearly aligns with the view that academic resources must be the primary focus of university investment.</w:t>
        <w:br/>
        <w:br/>
        <w:t>In conclusion, I strongly agree with agree. This is clear from prioritizing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