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#234 (c1)</w:t>
      </w:r>
    </w:p>
    <w:p>
      <w:r>
        <w:t xml:space="preserve">Prompt: </w:t>
      </w:r>
    </w:p>
    <w:p>
      <w:r>
        <w:t>--------------------</w:t>
      </w:r>
    </w:p>
    <w:p>
      <w:r>
        <w:t>The allocation of university funds between athletic programs and academic resources, such as libraries, is a subject of considerable debate. In my opinion, I strongly disagree with disagree. This essay will provide two reasons supporting my idea.</w:t>
        <w:br/>
        <w:br/>
        <w:t>Prioritizing sports funding over academic facilities is a common concern among educational stakeholders. In other words, some argue that athletic development deserves comparable financial support to that provided for scholarly resources in everyday life. For instance, a university might allocate substantial funds to build state-of-the-art athletic complexes. As a result, the quality of physical education facilities improves significantly for student athletes. Hence, it becomes evident that such an investment enhances the overall student experience.</w:t>
        <w:br/>
        <w:br/>
        <w:t>Conversely, maintaining academic resources requires a comparable level of financial commitment. This is primarily due to the fact that libraries are crucial hubs for scholarly research and learning in everyday life. This can be exemplified by the fact that modern libraries house extensive digital databases and physical collections. The outcome is that students have unparalleled access to information necessary for deep study. This clearly aligns with the view that academic rigor must remain the primary focus.</w:t>
        <w:br/>
        <w:br/>
        <w:t>In conclusion, I strongly disagree with disagree. This is clear from prioritizing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