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#235 (c1)</w:t>
      </w:r>
    </w:p>
    <w:p>
      <w:r>
        <w:t xml:space="preserve">Prompt: </w:t>
      </w:r>
    </w:p>
    <w:p>
      <w:r>
        <w:t>--------------------</w:t>
      </w:r>
    </w:p>
    <w:p>
      <w:r>
        <w:t>Local museums serve as invaluable repositories of community history and cultural heritage. In my opinion, I strongly agree with presenting a positive perspective on the topic. This essay will provide two reasons supporting my idea.</w:t>
        <w:br/>
        <w:br/>
        <w:t>These institutions are crucial for fostering a deep sense of local identity among residents. In other words, they provide tangible connections to the past, allowing people to understand their roots. For instance, a local museum might display artifacts from the town's founding era, such as old tools or photographs. As a result, visitors develop a greater appreciation for the community's enduring spirit and resilience. Hence, it becomes evident that these museums play a vital role in preserving collective memory.</w:t>
        <w:br/>
        <w:br/>
        <w:t>Furthermore, local museums act as significant educational resources for all age groups. This is primarily due to the fact that they offer interactive exhibits and guided tours that transcend traditional learning methods. This can be exemplified by the fact that a museum might host workshops on traditional crafts, engaging both children and adults. The outcome is that people acquire practical knowledge and a deeper understanding of local customs and skills. This clearly aligns with the view that these museums are essential centers for continuous learning and cultural transmission.</w:t>
        <w:br/>
        <w:br/>
        <w:t>In conclusion, I strongly agree that local museums are beneficial. They are vital for preserving collective memory and also serve as essential centers for continuous learning and cultural transmission.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