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#239 (c1)</w:t>
      </w:r>
    </w:p>
    <w:p>
      <w:r>
        <w:t xml:space="preserve">Prompt: </w:t>
      </w:r>
    </w:p>
    <w:p>
      <w:r>
        <w:t>--------------------</w:t>
      </w:r>
    </w:p>
    <w:p>
      <w:r>
        <w:t>The development and characteristics of a city significantly impact the quality of life for its inhabitants. In my opinion, I strongly agree with agreeing with the statement. This essay will provide two reasons supporting my idea.</w:t>
        <w:br/>
        <w:br/>
        <w:t>A city's robust public transportation system greatly enhances the daily mobility of its residents. In other words, efficient transit options reduce reliance on private vehicles, which is beneficial for the environment. For instance, implementing extensive subway lines and bus networks allows people to commute across vast distances quickly. As a result, air pollution levels decrease, and traffic congestion becomes less severe. Hence, it becomes evident that superior public transport is crucial for maintaining a healthy urban environment.</w:t>
        <w:br/>
        <w:br/>
        <w:t>Furthermore, the availability of diverse cultural amenities enriches the social fabric of a metropolitan area. This is primarily due to the fact that cultural institutions provide opportunities for learning and community engagement. This can be exemplified by the fact that major cities host numerous museums, theaters, and art galleries. The outcome is that residents are exposed to varied perspectives, fostering a more tolerant and knowledgeable populace. This clearly aligns with the view that cultural richness is vital for a fulfilling urban existence.</w:t>
        <w:br/>
        <w:br/>
        <w:t>In conclusion, I strongly agree that a city's infrastructure and cultural offerings are paramount to its success. A strong public transportation system and diverse cultural amenities are essential elements that contribute to a high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