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(c1)</w:t>
      </w:r>
    </w:p>
    <w:p>
      <w:r>
        <w:t xml:space="preserve">Prompt: </w:t>
      </w:r>
    </w:p>
    <w:p>
      <w:r>
        <w:t>--------------------</w:t>
      </w:r>
    </w:p>
    <w:p>
      <w:r>
        <w:t>The notion that urban living inherently diminishes personal connection and community spirit is a widely debated topic. In my opinion, I strongly disagree with disagreeing with the statement. This essay will provide two reasons supporting my idea.</w:t>
        <w:br/>
        <w:br/>
        <w:t>Modern cities actually provide ample opportunities for people to build strong social bonds. In other words, the density of populations facilitates spontaneous interactions and shared experiences. For instance, local community markets and neighborhood festivals draw people together for common activities. As a result, residents have numerous avenues to meet like-minded individuals and establish supportive networks. Hence, it becomes evident that city life is conducive to forming deep, meaningful relationships.</w:t>
        <w:br/>
        <w:br/>
        <w:t>Furthermore, the diverse infrastructure of a city supports varied lifestyle interests, fostering a sense of belonging. This is primarily due to the fact that specialized facilities cater to niche hobbies, from art studios to athletic complexes. This can be exemplified by the fact that specialized co-working spaces allow professionals to connect with peers outside of traditional office settings. The outcome is that individuals can maintain diverse social circles based on their unique passions and professional pursuits. This clearly aligns with the view that urban environments enrich personal lives.</w:t>
        <w:br/>
        <w:br/>
        <w:t>In conclusion, I strongly disagree with the notion that city life diminishes personal connection. Urban settings, with their opportunities for social bonds, and their diverse infrastructure for varied interests, actively support a rich sense of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