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#244 (c1)</w:t>
      </w:r>
    </w:p>
    <w:p>
      <w:r>
        <w:t xml:space="preserve">Prompt: </w:t>
      </w:r>
    </w:p>
    <w:p>
      <w:r>
        <w:t>--------------------</w:t>
      </w:r>
    </w:p>
    <w:p>
      <w:r>
        <w:t>The debate concerning whether individuals should remain in one location throughout their lives or frequently relocate to find suitable environments is quite common. In my opinion, I strongly agree with supporting the first option. This essay will provide two reasons supporting my idea.</w:t>
        <w:br/>
        <w:br/>
        <w:t>Remaining in a single location provides a profound sense of stability and belonging. In other words, people can establish deep roots within a familiar environment. For instance, an individual who stays in their hometown can build strong, lifelong relationships with neighbors and local businesses. As a result, they benefit from an established support network that aids in daily life and emotional well-being. Hence, it becomes evident that the comfort of a stable community is highly valuable for personal growth.</w:t>
        <w:br/>
        <w:br/>
        <w:t>Conversely, the desire for geographical mobility allows for significant personal and professional development. This is primarily due to the fact that moving exposes people to diverse cultures and new opportunities. This can be exemplified by the fact that working in a different city allows one to acquire varied professional skills and perspectives. The outcome is that individuals broaden their worldview and become more adaptable to changing circumstances. This clearly aligns with the view that embracing change is crucial for a fulfilling life.</w:t>
        <w:br/>
        <w:br/>
        <w:t>In conclusion, I strongly agree with supporting the first option. This is because remaining in a stable community fosters deep personal connections, while geographical mobility facilitates the acquisition of diverse professional skills and perspectives.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