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#244 (c1)</w:t>
      </w:r>
    </w:p>
    <w:p>
      <w:r>
        <w:t xml:space="preserve">Prompt: </w:t>
      </w:r>
    </w:p>
    <w:p>
      <w:r>
        <w:t>--------------------</w:t>
      </w:r>
    </w:p>
    <w:p>
      <w:r>
        <w:t>The debate concerning whether individuals should remain in one location throughout their lives or frequently relocate to find better opportunities is a persistent one. In my opinion, I strongly disagree with supporting the second option. This essay will provide two reasons supporting my idea.</w:t>
        <w:br/>
        <w:br/>
        <w:t>Remaining in a familiar environment offers substantial psychological benefits to individuals. In other words, people develop deep roots and a strong sense of belonging within a stable community. For instance, a person who stays in their hometown can maintain established friendships and support networks. As a result, they benefit from the comfort of routine and the familiarity of local amenities. Hence, it becomes evident that stability contributes significantly to emotional well-being.</w:t>
        <w:br/>
        <w:br/>
        <w:t>Conversely, the desire for geographical mobility is often linked to personal development and career advancement. This is primarily due to the fact that moving exposes individuals to diverse cultures and professional settings. This can be exemplified by the fact that a young professional relocating to a major city gains varied work experiences. The outcome is that their skill set expands considerably, making them more adaptable in the job market. This clearly aligns with the view that change is crucial for personal growth.</w:t>
        <w:br/>
        <w:br/>
        <w:t>In conclusion, I strongly disagree with supporting the second option. This is because remaining in a familiar environment fosters emotional well-being through established support networks, while geographical mobility facilitates personal growth by exposing individuals to diverse experiences.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