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#245 (c1)</w:t>
      </w:r>
    </w:p>
    <w:p>
      <w:r>
        <w:t xml:space="preserve">Prompt: </w:t>
      </w:r>
    </w:p>
    <w:p>
      <w:r>
        <w:t>--------------------</w:t>
      </w:r>
    </w:p>
    <w:p>
      <w:r>
        <w:t>The question of whether it is better to spend money immediately or to save it for future use is a common dilemma. In my opinion, I strongly disagree with disagree. This essay will provide two reasons supporting my idea.</w:t>
        <w:br/>
        <w:br/>
        <w:t>Prioritizing savings over immediate enjoyment is crucial for achieving long-term financial stability. In other words, dedicating a portion of one's income to savings builds a robust financial cushion. For instance, establishing an emergency fund allows individuals to manage unexpected expenses, such as medical bills. As a result, one avoids accumulating significant debt when unforeseen costs arise. Hence, it becomes evident that financial prudence must guide spending habits.</w:t>
        <w:br/>
        <w:br/>
        <w:t>Furthermore, saving money enables individuals to pursue significant future goals that require substantial capital. This is primarily due to the fact that large purchases, like a house or education, demand considerable funds. This can be exemplified by the fact that saving consistently over several years allows for a substantial down payment on a property. The outcome is that the buyer gains ownership of a valuable asset without incurring crippling loans. This clearly aligns with the view that deferred gratification is highly beneficial.</w:t>
        <w:br/>
        <w:br/>
        <w:t>In conclusion, I strongly disagree with disagree. This is clear from prioritizing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