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#249 (c1)</w:t>
      </w:r>
    </w:p>
    <w:p>
      <w:r>
        <w:t xml:space="preserve">Prompt: </w:t>
      </w:r>
    </w:p>
    <w:p>
      <w:r>
        <w:t>--------------------</w:t>
      </w:r>
    </w:p>
    <w:p>
      <w:r>
        <w:t>Some experts suggest that knowledge concerning previous eras holds minimal significance for those who inhabit the present day. In my opinion, I strongly agree with agreeing with the statement. This essay will provide two reasons supporting my idea.</w:t>
        <w:br/>
        <w:br/>
        <w:t>Studying historical knowledge provides crucial insights into human behavior and societal development. In other words, understanding how people lived in the past illuminates current social structures in everyday life. For instance, examining the economic struggles of ancient civilizations reveals patterns of resource management. As a result, modern policymakers can adopt more sustainable approaches to resource allocation. Hence, it becomes evident that historical context offers valuable blueprints for contemporary governance.</w:t>
        <w:br/>
        <w:br/>
        <w:t>Furthermore, historical understanding is vital for appreciating cultural identity and societal resilience. This is primarily due to the fact that shared memories of ancestors strengthen community bonds in everyday life. This can be exemplified by the fact that national festivals often commemorate historical victories or cultural milestones. The outcome is that these shared narratives foster a sense of collective purpose among citizens. This clearly aligns with the view that the past is fundamental to maintaining cultural continuity.</w:t>
        <w:br/>
        <w:br/>
        <w:t>In conclusion, I strongly agree with agreeing with the statement. This is because historical context offers valuable blueprints for contemporary governance, and shared memories of ancestors are fundamental to maintaining cultural continuity.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