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#251 (c1)</w:t>
      </w:r>
    </w:p>
    <w:p>
      <w:r>
        <w:t xml:space="preserve">Prompt: </w:t>
      </w:r>
    </w:p>
    <w:p>
      <w:r>
        <w:t>--------------------</w:t>
      </w:r>
    </w:p>
    <w:p>
      <w:r>
        <w:t>There is an ongoing debate regarding whether human requirements for residential areas, agricultural land, and industrial zones outweigh the necessity of reserving land for endangered wildlife. In my opinion, I strongly agree with agreeing with the statement. This essay will provide two reasons supporting my idea.</w:t>
        <w:br/>
        <w:br/>
        <w:t>Human development necessitates the utilization of vast tracts of land for essential human activities. In other words, the expansion of human settlements and economic infrastructure requires significant space. For instance, rapidly growing populations demand new housing developments and industrial parks. As a result, the pressure to convert natural habitats into usable space becomes immense. Hence, it becomes evident that human progress must take precedence in land use planning.</w:t>
        <w:br/>
        <w:br/>
        <w:t>Furthermore, the immediate needs of a growing population for shelter and employment are paramount concerns. This is primarily due to the fact that economic stability relies heavily on available land for farming and industry. This can be exemplified by the fact that many communities depend on agricultural yields for their sustenance. The outcome is that restricting land use for conservation could severely undermine local economies. This clearly aligns with the view that human development must be prioritized over wildlife preservation.</w:t>
        <w:br/>
        <w:br/>
        <w:t>In conclusion, I strongly agree with agreeing with the statement. This is because human progress necessitates converting natural habitats for settlements and infrastructure, while simultaneously, local economies are fundamentally dependent on available land for agriculture and industry.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