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#253 (c1)</w:t>
      </w:r>
    </w:p>
    <w:p>
      <w:r>
        <w:t xml:space="preserve">Prompt: </w:t>
      </w:r>
    </w:p>
    <w:p>
      <w:r>
        <w:t>--------------------</w:t>
      </w:r>
    </w:p>
    <w:p>
      <w:r>
        <w:t>The debate concerning optimal working hours often contrasts the traditional habit of rising early with the modern preference for a later start. In my opinion, I strongly positive with the advantages outweigh the disadvantages. This essay will provide two reasons supporting my idea.</w:t>
        <w:br/>
        <w:br/>
        <w:t>On the one hand, adopting an early rising routine offers substantial advantages for productivity. In other words, starting the day before peak traffic and activity allows for focused preparation. For instance, an individual who wakes up at dawn can dedicate time to exercise or deep work. As a result, they establish a sense of control over their schedule before professional demands begin. Hence, it becomes evident that early rising promotes a structured and efficient start to the day.</w:t>
        <w:br/>
        <w:br/>
        <w:t>On the other hand, the lifestyle of working late into the night presents certain drawbacks. This is primarily due to the fact that late hours often disrupt natural sleep patterns. This can be exemplified by the fact that continuous screen time before bed suppresses melatonin production. The outcome is that individuals experience chronic sleep deprivation and reduced focus the following day. This clearly aligns with the view that late working habits negatively impact overall health and well-being.</w:t>
        <w:br/>
        <w:br/>
        <w:t>In conclusion, I strongly agree that the advantages of an early rising routine outweigh the disadvantages of working late. Maintaining an early rising routine promotes structure and efficiency, while the drawbacks associated with late working habits include poor sleep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