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#255 (c1)</w:t>
      </w:r>
    </w:p>
    <w:p>
      <w:r>
        <w:t xml:space="preserve">Prompt: </w:t>
      </w:r>
    </w:p>
    <w:p>
      <w:r>
        <w:t>--------------------</w:t>
      </w:r>
    </w:p>
    <w:p>
      <w:r>
        <w:t>The effectiveness of face-to-face communication compared to written or telephonic methods is a widely debated topic. In my opinion, I strongly agree with agree. This essay will provide two reasons supporting my idea.</w:t>
        <w:br/>
        <w:br/>
        <w:t>Face-to-face interaction offers a superior level of clarity in conveying complex ideas. In other words, the immediate exchange allows for the full utilization of non-verbal cues in everyday life in everyday life in everyday life. For instance, a business negotiation involving sensitive details benefits greatly from direct conversation. As a result, participants can gauge emotional responses and adjust their approach instantly. Hence, it becomes evident that the richness of personal interaction greatly enhances understanding.</w:t>
        <w:br/>
        <w:br/>
        <w:t>Furthermore, in-person discussions foster a deeper sense of connection among participants. This is primarily due to the fact that shared physical space encourages mutual engagement and trust in everyday life in everyday life in everyday life. This can be exemplified by the fact that team-building exercises conducted in a physical setting improve rapport. The outcome is that collaborative problem-solving becomes more dynamic and effective. This clearly aligns with the view that physical presence is crucial for building strong professional relationships.</w:t>
        <w:br/>
        <w:br/>
        <w:t>In conclusion, I strongly agree with agree. This is clear from face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