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#255 (c1)</w:t>
      </w:r>
    </w:p>
    <w:p>
      <w:r>
        <w:t xml:space="preserve">Prompt: </w:t>
      </w:r>
    </w:p>
    <w:p>
      <w:r>
        <w:t>--------------------</w:t>
      </w:r>
    </w:p>
    <w:p>
      <w:r>
        <w:t>The discussion surrounding the necessity of formal communication channels often overlooks the inherent value of informal interactions. In my opinion, I strongly disagree with disagreeing with the statement. This essay will provide two reasons supporting my idea.</w:t>
        <w:br/>
        <w:br/>
        <w:t>Informal communication methods are crucial for fostering strong interpersonal relationships within any professional setting. In other words, these casual exchanges allow employees to build rapport and trust outside of structured meetings. For instance, a quick chat by the coffee machine can resolve minor misunderstandings before they escalate into major conflicts. As a result, the workplace atmosphere becomes more supportive and collaborative among team members. Hence, it becomes evident that these spontaneous interactions significantly boost morale and cooperation.</w:t>
        <w:br/>
        <w:br/>
        <w:t>Effective communication requires more than just adherence to official protocols; it demands adaptability and flexibility. This is primarily due to the fact that complex issues often require nuanced discussions that formal reports cannot capture. This can be exemplified by the fact that brainstorming sessions, which are inherently informal, generate more creative solutions than rigid planning meetings. The outcome is that teams are better equipped to handle unexpected challenges and pivot quickly when necessary. This clearly aligns with the view that spontaneous dialogue is essential for organizational success.</w:t>
        <w:br/>
        <w:br/>
        <w:t>In conclusion, I strongly disagree with the notion that only formal channels are adequate for communication. Maintaining strong interpersonal relationships and ensuring adaptability through spontaneous dialogue are both vital components of a successful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