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#256 (c1)</w:t>
      </w:r>
    </w:p>
    <w:p>
      <w:r>
        <w:t xml:space="preserve">Prompt: </w:t>
      </w:r>
    </w:p>
    <w:p>
      <w:r>
        <w:t>--------------------</w:t>
      </w:r>
    </w:p>
    <w:p>
      <w:r>
        <w:t>Many individuals tend to prefer the predictability of their current routines rather than embracing novel experiences. In my opinion, I strongly agree with identifying problems and proposing solutions. This essay will provide two reasons supporting my idea.</w:t>
        <w:br/>
        <w:br/>
        <w:t>The major reason is the inherent desire for stability, which makes the known environment feel safe. In other words, people associate familiarity with comfort and minimal stress. For instance, a student might stick to familiar study methods, even if more effective techniques are available. As a result, they avoid the potential difficulty of learning something entirely new. Hence, it becomes evident that the fear of failure often outweighs the potential for growth.</w:t>
        <w:br/>
        <w:br/>
        <w:t>One effective solution is to gradually expose oneself to minor challenges to build confidence. This is primarily due to the fact that small, manageable risks do not feel overwhelming. This can be exemplified by the fact that starting with a short, unfamiliar walk can build momentum. The outcome is that the individual develops a greater tolerance for uncertainty and novelty. This clearly aligns with the view that gradual exposure is key to overcoming inertia.</w:t>
        <w:br/>
        <w:br/>
        <w:t>In conclusion, I strongly agree with identifying problems and proposing solutions. This is because acknowledging the inherent comfort derived from familiarity is crucial, and gradually exposing oneself to manageable challenges is key to developing tolerance for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