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#260 (c1)</w:t>
      </w:r>
    </w:p>
    <w:p>
      <w:r>
        <w:t xml:space="preserve">Prompt: </w:t>
      </w:r>
    </w:p>
    <w:p>
      <w:r>
        <w:t>--------------------</w:t>
      </w:r>
    </w:p>
    <w:p>
      <w:r>
        <w:t>The significance of recreational activities, such as games, extends across all age groups, from childhood to adulthood. In my opinion, I strongly agree with agreeing with the statement. This essay will provide two reasons supporting my idea.</w:t>
        <w:br/>
        <w:br/>
        <w:t>Games provide adults with essential avenues for stress reduction and mental rejuvenation. In other words, engaging in structured play offers a necessary respite from daily pressures in everyday life. For instance, playing board games with friends can distract the mind from professional anxieties. As a result, participants experience a noticeable decrease in cortisol levels and an uplift in mood. Hence, it becomes evident that games are valuable tools for maintaining emotional well-being.</w:t>
        <w:br/>
        <w:br/>
        <w:t>Furthermore, recreational games are crucial for developing and maintaining social connections among adults. This is primarily due to the fact that many games require teamwork and communication in everyday life. This can be exemplified by the fact that cooperative video games necessitate coordinated strategy among players. The outcome is that participants improve their interpersonal skills and learn to resolve conflicts constructively. This clearly aligns with the view that games are vital for social development.</w:t>
        <w:br/>
        <w:br/>
        <w:t>In conclusion, I strongly agree with agreeing with the statement. This is because games provide essential avenues for stress reduction and mental rejuvenation, while simultaneously fostering crucial interpersonal skills and social 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